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60" w:rsidRPr="001E1F60" w:rsidRDefault="001E1F60" w:rsidP="00F5765A">
      <w:pPr>
        <w:spacing w:after="120"/>
        <w:ind w:left="7200"/>
      </w:pPr>
      <w:r>
        <w:rPr>
          <w:rFonts w:asciiTheme="minorHAnsi" w:hAnsiTheme="minorHAnsi" w:cstheme="minorHAnsi"/>
          <w:b/>
          <w:iCs/>
          <w:color w:val="9E549A"/>
          <w:kern w:val="32"/>
          <w:sz w:val="32"/>
          <w:szCs w:val="32"/>
        </w:rPr>
        <w:t>Schedule E</w:t>
      </w:r>
    </w:p>
    <w:p w:rsidR="00E918A4" w:rsidRDefault="001E1F60" w:rsidP="00F5765A">
      <w:pPr>
        <w:spacing w:after="120"/>
        <w:ind w:left="6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iCs/>
          <w:color w:val="9E549A"/>
          <w:kern w:val="32"/>
          <w:sz w:val="32"/>
          <w:szCs w:val="32"/>
        </w:rPr>
        <w:t>Analysis of earmarked reserves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7120"/>
      </w:tblGrid>
      <w:tr w:rsidR="001E1F60" w:rsidRPr="004208AD" w:rsidTr="00B0557B">
        <w:trPr>
          <w:trHeight w:hRule="exact" w:val="794"/>
        </w:trPr>
        <w:tc>
          <w:tcPr>
            <w:tcW w:w="1775" w:type="dxa"/>
          </w:tcPr>
          <w:p w:rsidR="001E1F60" w:rsidRPr="004208AD" w:rsidRDefault="00035A27" w:rsidP="00B055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5A27">
              <w:rPr>
                <w:rFonts w:asciiTheme="minorHAnsi" w:hAnsiTheme="minorHAnsi" w:cstheme="minorHAnsi"/>
                <w:b/>
              </w:rPr>
              <w:t>Authority name and reference</w:t>
            </w:r>
          </w:p>
        </w:tc>
        <w:tc>
          <w:tcPr>
            <w:tcW w:w="7120" w:type="dxa"/>
            <w:shd w:val="clear" w:color="auto" w:fill="D6E3BC" w:themeFill="accent3" w:themeFillTint="66"/>
            <w:vAlign w:val="center"/>
          </w:tcPr>
          <w:p w:rsidR="001E1F60" w:rsidRPr="001419B7" w:rsidRDefault="00E4707C" w:rsidP="00B05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Stogursey Parish Council / SOM262</w:t>
            </w:r>
          </w:p>
        </w:tc>
      </w:tr>
    </w:tbl>
    <w:p w:rsidR="00B721D4" w:rsidRPr="00C74554" w:rsidRDefault="00B721D4" w:rsidP="00E8666A">
      <w:pPr>
        <w:tabs>
          <w:tab w:val="left" w:pos="1996"/>
          <w:tab w:val="left" w:pos="7025"/>
        </w:tabs>
        <w:spacing w:after="120"/>
        <w:ind w:left="221"/>
        <w:rPr>
          <w:rFonts w:asciiTheme="minorHAnsi" w:hAnsiTheme="minorHAnsi" w:cstheme="minorHAnsi"/>
          <w:b/>
          <w:sz w:val="16"/>
          <w:szCs w:val="16"/>
        </w:rPr>
      </w:pPr>
      <w:r w:rsidRPr="00C74554">
        <w:rPr>
          <w:rFonts w:asciiTheme="minorHAnsi" w:hAnsiTheme="minorHAnsi" w:cstheme="minorHAnsi"/>
          <w:b/>
          <w:sz w:val="16"/>
          <w:szCs w:val="16"/>
        </w:rPr>
        <w:tab/>
      </w:r>
      <w:r w:rsidRPr="00C74554">
        <w:rPr>
          <w:rFonts w:asciiTheme="minorHAnsi" w:hAnsiTheme="minorHAnsi" w:cstheme="minorHAnsi"/>
          <w:b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2062"/>
        <w:gridCol w:w="2005"/>
      </w:tblGrid>
      <w:tr w:rsidR="0027522D" w:rsidRPr="004208AD" w:rsidTr="0027522D">
        <w:trPr>
          <w:trHeight w:hRule="exact" w:val="794"/>
        </w:trPr>
        <w:tc>
          <w:tcPr>
            <w:tcW w:w="4841" w:type="dxa"/>
            <w:vAlign w:val="bottom"/>
          </w:tcPr>
          <w:p w:rsidR="0027522D" w:rsidRPr="004208AD" w:rsidRDefault="0027522D" w:rsidP="00B0557B">
            <w:pPr>
              <w:rPr>
                <w:rFonts w:asciiTheme="minorHAnsi" w:hAnsiTheme="minorHAnsi" w:cstheme="minorHAnsi"/>
                <w:b/>
              </w:rPr>
            </w:pPr>
            <w:r w:rsidRPr="004208AD">
              <w:rPr>
                <w:rFonts w:asciiTheme="minorHAnsi" w:hAnsiTheme="minorHAnsi" w:cstheme="minorHAnsi"/>
                <w:b/>
              </w:rPr>
              <w:t xml:space="preserve">Purpose </w:t>
            </w:r>
            <w:r>
              <w:rPr>
                <w:rFonts w:asciiTheme="minorHAnsi" w:hAnsiTheme="minorHAnsi" w:cstheme="minorHAnsi"/>
                <w:b/>
              </w:rPr>
              <w:t xml:space="preserve">and nature </w:t>
            </w:r>
            <w:r w:rsidRPr="004208AD">
              <w:rPr>
                <w:rFonts w:asciiTheme="minorHAnsi" w:hAnsiTheme="minorHAnsi" w:cstheme="minorHAnsi"/>
                <w:b/>
              </w:rPr>
              <w:t>of reserve</w:t>
            </w:r>
          </w:p>
        </w:tc>
        <w:tc>
          <w:tcPr>
            <w:tcW w:w="2062" w:type="dxa"/>
          </w:tcPr>
          <w:p w:rsidR="0027522D" w:rsidRPr="004208AD" w:rsidRDefault="0027522D" w:rsidP="002752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142F">
              <w:rPr>
                <w:rFonts w:asciiTheme="minorHAnsi" w:hAnsiTheme="minorHAnsi" w:cstheme="minorHAnsi"/>
                <w:b/>
              </w:rPr>
              <w:t>Held as short-term or long-term investment?</w:t>
            </w:r>
            <w:r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005" w:type="dxa"/>
          </w:tcPr>
          <w:p w:rsidR="0027522D" w:rsidRDefault="0027522D" w:rsidP="002752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Amount £</w:t>
            </w:r>
          </w:p>
          <w:p w:rsidR="0027522D" w:rsidRPr="009E142F" w:rsidRDefault="0027522D" w:rsidP="0027522D">
            <w:pPr>
              <w:ind w:firstLine="7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7522D" w:rsidRPr="001E1F60" w:rsidTr="001419B7">
        <w:trPr>
          <w:trHeight w:hRule="exact" w:val="698"/>
        </w:trPr>
        <w:tc>
          <w:tcPr>
            <w:tcW w:w="4841" w:type="dxa"/>
            <w:shd w:val="clear" w:color="auto" w:fill="D6E3BC" w:themeFill="accent3" w:themeFillTint="66"/>
            <w:vAlign w:val="center"/>
          </w:tcPr>
          <w:p w:rsidR="0027522D" w:rsidRP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2019 </w:t>
            </w:r>
            <w:r w:rsidRPr="00A67286">
              <w:rPr>
                <w:rFonts w:asciiTheme="minorHAnsi" w:hAnsiTheme="minorHAnsi" w:cstheme="minorHAnsi"/>
              </w:rPr>
              <w:t>Election costs</w:t>
            </w:r>
            <w:r>
              <w:rPr>
                <w:rFonts w:asciiTheme="minorHAnsi" w:hAnsiTheme="minorHAnsi" w:cstheme="minorHAnsi"/>
              </w:rPr>
              <w:t xml:space="preserve"> (Year 2 of 4)</w:t>
            </w: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27522D" w:rsidRP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 w:rsidRPr="00A67286">
              <w:rPr>
                <w:rFonts w:asciiTheme="minorHAnsi" w:hAnsiTheme="minorHAnsi" w:cstheme="minorHAnsi"/>
              </w:rPr>
              <w:t>Short</w:t>
            </w:r>
            <w:r>
              <w:rPr>
                <w:rFonts w:asciiTheme="minorHAnsi" w:hAnsiTheme="minorHAnsi" w:cstheme="minorHAnsi"/>
              </w:rPr>
              <w:t xml:space="preserve"> Term</w:t>
            </w:r>
          </w:p>
        </w:tc>
        <w:tc>
          <w:tcPr>
            <w:tcW w:w="2005" w:type="dxa"/>
            <w:shd w:val="clear" w:color="auto" w:fill="D6E3BC" w:themeFill="accent3" w:themeFillTint="66"/>
            <w:vAlign w:val="center"/>
          </w:tcPr>
          <w:p w:rsidR="0027522D" w:rsidRPr="001E1F60" w:rsidRDefault="0040752A" w:rsidP="00141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500.00</w:t>
            </w:r>
          </w:p>
        </w:tc>
      </w:tr>
      <w:tr w:rsidR="0027522D" w:rsidRPr="001E1F60" w:rsidTr="001419B7">
        <w:trPr>
          <w:trHeight w:hRule="exact" w:val="580"/>
        </w:trPr>
        <w:tc>
          <w:tcPr>
            <w:tcW w:w="4841" w:type="dxa"/>
            <w:shd w:val="clear" w:color="auto" w:fill="D6E3BC" w:themeFill="accent3" w:themeFillTint="66"/>
            <w:vAlign w:val="center"/>
          </w:tcPr>
          <w:p w:rsidR="0027522D" w:rsidRPr="00A67286" w:rsidRDefault="00A67286" w:rsidP="001419B7">
            <w:pPr>
              <w:spacing w:after="100" w:afterAutospacing="1"/>
              <w:rPr>
                <w:rFonts w:asciiTheme="minorHAnsi" w:hAnsiTheme="minorHAnsi" w:cstheme="minorHAnsi"/>
              </w:rPr>
            </w:pPr>
            <w:r w:rsidRPr="00A67286">
              <w:rPr>
                <w:rFonts w:asciiTheme="minorHAnsi" w:hAnsiTheme="minorHAnsi" w:cstheme="minorHAnsi"/>
              </w:rPr>
              <w:t>Multi sports area</w:t>
            </w:r>
            <w:r>
              <w:rPr>
                <w:rFonts w:asciiTheme="minorHAnsi" w:hAnsiTheme="minorHAnsi" w:cstheme="minorHAnsi"/>
              </w:rPr>
              <w:t xml:space="preserve"> repair / contingency</w:t>
            </w: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27522D" w:rsidRPr="00A67286" w:rsidRDefault="00A67286" w:rsidP="001419B7">
            <w:pPr>
              <w:spacing w:after="100" w:afterAutospacing="1"/>
              <w:rPr>
                <w:rFonts w:asciiTheme="minorHAnsi" w:hAnsiTheme="minorHAnsi" w:cstheme="minorHAnsi"/>
              </w:rPr>
            </w:pPr>
            <w:r w:rsidRPr="00A67286">
              <w:rPr>
                <w:rFonts w:asciiTheme="minorHAnsi" w:hAnsiTheme="minorHAnsi" w:cstheme="minorHAnsi"/>
              </w:rPr>
              <w:t>Short</w:t>
            </w:r>
            <w:r>
              <w:rPr>
                <w:rFonts w:asciiTheme="minorHAnsi" w:hAnsiTheme="minorHAnsi" w:cstheme="minorHAnsi"/>
              </w:rPr>
              <w:t xml:space="preserve"> Term</w:t>
            </w:r>
          </w:p>
        </w:tc>
        <w:tc>
          <w:tcPr>
            <w:tcW w:w="2005" w:type="dxa"/>
            <w:shd w:val="clear" w:color="auto" w:fill="D6E3BC" w:themeFill="accent3" w:themeFillTint="66"/>
            <w:vAlign w:val="center"/>
          </w:tcPr>
          <w:p w:rsidR="0027522D" w:rsidRPr="001E1F60" w:rsidRDefault="0040752A" w:rsidP="001419B7">
            <w:pPr>
              <w:spacing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1500.00</w:t>
            </w:r>
          </w:p>
        </w:tc>
      </w:tr>
      <w:tr w:rsidR="0027522D" w:rsidRPr="001E1F60" w:rsidTr="001419B7">
        <w:trPr>
          <w:trHeight w:hRule="exact" w:val="580"/>
        </w:trPr>
        <w:tc>
          <w:tcPr>
            <w:tcW w:w="4841" w:type="dxa"/>
            <w:shd w:val="clear" w:color="auto" w:fill="D6E3BC" w:themeFill="accent3" w:themeFillTint="66"/>
            <w:vAlign w:val="center"/>
          </w:tcPr>
          <w:p w:rsidR="0027522D" w:rsidRP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Refurbish the P</w:t>
            </w:r>
            <w:r w:rsidRPr="00A67286">
              <w:rPr>
                <w:rFonts w:asciiTheme="minorHAnsi" w:hAnsiTheme="minorHAnsi" w:cstheme="minorHAnsi"/>
              </w:rPr>
              <w:t>ound</w:t>
            </w: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27522D" w:rsidRPr="00A67286" w:rsidRDefault="00A67286" w:rsidP="00A67286">
            <w:pPr>
              <w:spacing w:after="0"/>
              <w:rPr>
                <w:rFonts w:asciiTheme="minorHAnsi" w:hAnsiTheme="minorHAnsi" w:cstheme="minorHAnsi"/>
              </w:rPr>
            </w:pPr>
            <w:r w:rsidRPr="00A67286">
              <w:rPr>
                <w:rFonts w:asciiTheme="minorHAnsi" w:hAnsiTheme="minorHAnsi" w:cstheme="minorHAnsi"/>
              </w:rPr>
              <w:t>Short</w:t>
            </w:r>
            <w:r>
              <w:rPr>
                <w:rFonts w:asciiTheme="minorHAnsi" w:hAnsiTheme="minorHAnsi" w:cstheme="minorHAnsi"/>
              </w:rPr>
              <w:t xml:space="preserve"> Term</w:t>
            </w:r>
            <w:r w:rsidRPr="00A672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05" w:type="dxa"/>
            <w:shd w:val="clear" w:color="auto" w:fill="D6E3BC" w:themeFill="accent3" w:themeFillTint="66"/>
            <w:vAlign w:val="center"/>
          </w:tcPr>
          <w:p w:rsidR="0027522D" w:rsidRPr="001E1F60" w:rsidRDefault="0040752A" w:rsidP="00141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2000.00</w:t>
            </w:r>
          </w:p>
        </w:tc>
      </w:tr>
      <w:tr w:rsidR="0027522D" w:rsidRPr="001E1F60" w:rsidTr="001419B7">
        <w:trPr>
          <w:trHeight w:hRule="exact" w:val="580"/>
        </w:trPr>
        <w:tc>
          <w:tcPr>
            <w:tcW w:w="4841" w:type="dxa"/>
            <w:shd w:val="clear" w:color="auto" w:fill="D6E3BC" w:themeFill="accent3" w:themeFillTint="66"/>
            <w:vAlign w:val="center"/>
          </w:tcPr>
          <w:p w:rsidR="0027522D" w:rsidRP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Youth C</w:t>
            </w:r>
            <w:r w:rsidRPr="00A67286">
              <w:rPr>
                <w:rFonts w:asciiTheme="minorHAnsi" w:hAnsiTheme="minorHAnsi" w:cstheme="minorHAnsi"/>
              </w:rPr>
              <w:t>lub</w:t>
            </w: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27522D" w:rsidRP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 w:rsidRPr="00A67286">
              <w:rPr>
                <w:rFonts w:asciiTheme="minorHAnsi" w:hAnsiTheme="minorHAnsi" w:cstheme="minorHAnsi"/>
              </w:rPr>
              <w:t>Short</w:t>
            </w:r>
            <w:r>
              <w:rPr>
                <w:rFonts w:asciiTheme="minorHAnsi" w:hAnsiTheme="minorHAnsi" w:cstheme="minorHAnsi"/>
              </w:rPr>
              <w:t xml:space="preserve"> Term</w:t>
            </w:r>
          </w:p>
        </w:tc>
        <w:tc>
          <w:tcPr>
            <w:tcW w:w="2005" w:type="dxa"/>
            <w:shd w:val="clear" w:color="auto" w:fill="D6E3BC" w:themeFill="accent3" w:themeFillTint="66"/>
            <w:vAlign w:val="center"/>
          </w:tcPr>
          <w:p w:rsidR="0027522D" w:rsidRPr="001E1F60" w:rsidRDefault="0040752A" w:rsidP="00141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3000.00</w:t>
            </w:r>
          </w:p>
        </w:tc>
      </w:tr>
      <w:tr w:rsidR="0027522D" w:rsidRPr="001E1F60" w:rsidTr="001419B7">
        <w:trPr>
          <w:trHeight w:hRule="exact" w:val="580"/>
        </w:trPr>
        <w:tc>
          <w:tcPr>
            <w:tcW w:w="4841" w:type="dxa"/>
            <w:shd w:val="clear" w:color="auto" w:fill="D6E3BC" w:themeFill="accent3" w:themeFillTint="66"/>
            <w:vAlign w:val="center"/>
          </w:tcPr>
          <w:p w:rsidR="0027522D" w:rsidRP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Balance of Stogursey Oral History S</w:t>
            </w:r>
            <w:r w:rsidRPr="00A67286">
              <w:rPr>
                <w:rFonts w:asciiTheme="minorHAnsi" w:hAnsiTheme="minorHAnsi" w:cstheme="minorHAnsi"/>
              </w:rPr>
              <w:t>ociety</w:t>
            </w:r>
            <w:r>
              <w:rPr>
                <w:rFonts w:asciiTheme="minorHAnsi" w:hAnsiTheme="minorHAnsi" w:cstheme="minorHAnsi"/>
              </w:rPr>
              <w:t xml:space="preserve"> Grant</w:t>
            </w: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27522D" w:rsidRP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 w:rsidRPr="00A67286">
              <w:rPr>
                <w:rFonts w:asciiTheme="minorHAnsi" w:hAnsiTheme="minorHAnsi" w:cstheme="minorHAnsi"/>
              </w:rPr>
              <w:t>Short</w:t>
            </w:r>
            <w:r>
              <w:rPr>
                <w:rFonts w:asciiTheme="minorHAnsi" w:hAnsiTheme="minorHAnsi" w:cstheme="minorHAnsi"/>
              </w:rPr>
              <w:t xml:space="preserve"> Term</w:t>
            </w:r>
          </w:p>
        </w:tc>
        <w:tc>
          <w:tcPr>
            <w:tcW w:w="2005" w:type="dxa"/>
            <w:shd w:val="clear" w:color="auto" w:fill="D6E3BC" w:themeFill="accent3" w:themeFillTint="66"/>
            <w:vAlign w:val="center"/>
          </w:tcPr>
          <w:p w:rsidR="0027522D" w:rsidRPr="001E1F60" w:rsidRDefault="0040752A" w:rsidP="00141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1622.00</w:t>
            </w:r>
          </w:p>
        </w:tc>
      </w:tr>
      <w:tr w:rsidR="0040752A" w:rsidRPr="001E1F60" w:rsidTr="001419B7">
        <w:trPr>
          <w:trHeight w:hRule="exact" w:val="580"/>
        </w:trPr>
        <w:tc>
          <w:tcPr>
            <w:tcW w:w="4841" w:type="dxa"/>
            <w:shd w:val="clear" w:color="auto" w:fill="D6E3BC" w:themeFill="accent3" w:themeFillTint="66"/>
            <w:vAlign w:val="center"/>
          </w:tcPr>
          <w:p w:rsidR="0040752A" w:rsidRP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Balance of </w:t>
            </w:r>
            <w:r w:rsidRPr="00A67286">
              <w:rPr>
                <w:rFonts w:asciiTheme="minorHAnsi" w:hAnsiTheme="minorHAnsi" w:cstheme="minorHAnsi"/>
              </w:rPr>
              <w:t>Castle street flood scheme</w:t>
            </w:r>
            <w:r>
              <w:rPr>
                <w:rFonts w:asciiTheme="minorHAnsi" w:hAnsiTheme="minorHAnsi" w:cstheme="minorHAnsi"/>
              </w:rPr>
              <w:t xml:space="preserve"> Grant</w:t>
            </w: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40752A" w:rsidRP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 w:rsidRPr="00A67286">
              <w:rPr>
                <w:rFonts w:asciiTheme="minorHAnsi" w:hAnsiTheme="minorHAnsi" w:cstheme="minorHAnsi"/>
              </w:rPr>
              <w:t>Short</w:t>
            </w:r>
            <w:r>
              <w:rPr>
                <w:rFonts w:asciiTheme="minorHAnsi" w:hAnsiTheme="minorHAnsi" w:cstheme="minorHAnsi"/>
              </w:rPr>
              <w:t xml:space="preserve"> Term</w:t>
            </w:r>
          </w:p>
        </w:tc>
        <w:tc>
          <w:tcPr>
            <w:tcW w:w="2005" w:type="dxa"/>
            <w:shd w:val="clear" w:color="auto" w:fill="D6E3BC" w:themeFill="accent3" w:themeFillTint="66"/>
            <w:vAlign w:val="center"/>
          </w:tcPr>
          <w:p w:rsidR="0040752A" w:rsidRPr="001E1F60" w:rsidRDefault="0040752A" w:rsidP="00141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4496.00</w:t>
            </w:r>
          </w:p>
        </w:tc>
      </w:tr>
      <w:tr w:rsidR="0040752A" w:rsidRPr="001E1F60" w:rsidTr="001419B7">
        <w:trPr>
          <w:trHeight w:hRule="exact" w:val="580"/>
        </w:trPr>
        <w:tc>
          <w:tcPr>
            <w:tcW w:w="4841" w:type="dxa"/>
            <w:shd w:val="clear" w:color="auto" w:fill="D6E3BC" w:themeFill="accent3" w:themeFillTint="66"/>
            <w:vAlign w:val="center"/>
          </w:tcPr>
          <w:p w:rsidR="0040752A" w:rsidRP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 w:rsidRPr="00A67286">
              <w:rPr>
                <w:rFonts w:asciiTheme="minorHAnsi" w:hAnsiTheme="minorHAnsi" w:cstheme="minorHAnsi"/>
              </w:rPr>
              <w:t>Burgage road play area contingency</w:t>
            </w: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40752A" w:rsidRP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 w:rsidRPr="00A67286">
              <w:rPr>
                <w:rFonts w:asciiTheme="minorHAnsi" w:hAnsiTheme="minorHAnsi" w:cstheme="minorHAnsi"/>
              </w:rPr>
              <w:t>Short</w:t>
            </w:r>
            <w:r>
              <w:rPr>
                <w:rFonts w:asciiTheme="minorHAnsi" w:hAnsiTheme="minorHAnsi" w:cstheme="minorHAnsi"/>
              </w:rPr>
              <w:t xml:space="preserve"> Term</w:t>
            </w:r>
          </w:p>
        </w:tc>
        <w:tc>
          <w:tcPr>
            <w:tcW w:w="2005" w:type="dxa"/>
            <w:shd w:val="clear" w:color="auto" w:fill="D6E3BC" w:themeFill="accent3" w:themeFillTint="66"/>
            <w:vAlign w:val="center"/>
          </w:tcPr>
          <w:p w:rsidR="0040752A" w:rsidRPr="001E1F60" w:rsidRDefault="0040752A" w:rsidP="00141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1000.00</w:t>
            </w:r>
          </w:p>
        </w:tc>
      </w:tr>
      <w:tr w:rsidR="0040752A" w:rsidRPr="001E1F60" w:rsidTr="001419B7">
        <w:trPr>
          <w:trHeight w:hRule="exact" w:val="580"/>
        </w:trPr>
        <w:tc>
          <w:tcPr>
            <w:tcW w:w="4841" w:type="dxa"/>
            <w:shd w:val="clear" w:color="auto" w:fill="D6E3BC" w:themeFill="accent3" w:themeFillTint="66"/>
            <w:vAlign w:val="center"/>
          </w:tcPr>
          <w:p w:rsidR="0040752A" w:rsidRP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 w:rsidRPr="00A67286">
              <w:rPr>
                <w:rFonts w:asciiTheme="minorHAnsi" w:hAnsiTheme="minorHAnsi" w:cstheme="minorHAnsi"/>
              </w:rPr>
              <w:t>Grounds and maintenance</w:t>
            </w:r>
            <w:r>
              <w:rPr>
                <w:rFonts w:asciiTheme="minorHAnsi" w:hAnsiTheme="minorHAnsi" w:cstheme="minorHAnsi"/>
              </w:rPr>
              <w:t xml:space="preserve"> equipment</w:t>
            </w: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40752A" w:rsidRP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 w:rsidRPr="00A67286">
              <w:rPr>
                <w:rFonts w:asciiTheme="minorHAnsi" w:hAnsiTheme="minorHAnsi" w:cstheme="minorHAnsi"/>
              </w:rPr>
              <w:t>Short</w:t>
            </w:r>
            <w:r>
              <w:rPr>
                <w:rFonts w:asciiTheme="minorHAnsi" w:hAnsiTheme="minorHAnsi" w:cstheme="minorHAnsi"/>
              </w:rPr>
              <w:t xml:space="preserve"> Term</w:t>
            </w:r>
          </w:p>
        </w:tc>
        <w:tc>
          <w:tcPr>
            <w:tcW w:w="2005" w:type="dxa"/>
            <w:shd w:val="clear" w:color="auto" w:fill="D6E3BC" w:themeFill="accent3" w:themeFillTint="66"/>
            <w:vAlign w:val="center"/>
          </w:tcPr>
          <w:p w:rsidR="0040752A" w:rsidRPr="001E1F60" w:rsidRDefault="0040752A" w:rsidP="00141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5000.00</w:t>
            </w:r>
          </w:p>
        </w:tc>
      </w:tr>
      <w:tr w:rsidR="00A67286" w:rsidRPr="001E1F60" w:rsidTr="001419B7">
        <w:trPr>
          <w:trHeight w:hRule="exact" w:val="580"/>
        </w:trPr>
        <w:tc>
          <w:tcPr>
            <w:tcW w:w="4841" w:type="dxa"/>
            <w:shd w:val="clear" w:color="auto" w:fill="D6E3BC" w:themeFill="accent3" w:themeFillTint="66"/>
            <w:vAlign w:val="center"/>
          </w:tcPr>
          <w:p w:rsidR="00A67286" w:rsidRP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Laptop and equipment</w:t>
            </w: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A67286" w:rsidRP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 Term</w:t>
            </w:r>
          </w:p>
        </w:tc>
        <w:tc>
          <w:tcPr>
            <w:tcW w:w="2005" w:type="dxa"/>
            <w:shd w:val="clear" w:color="auto" w:fill="D6E3BC" w:themeFill="accent3" w:themeFillTint="66"/>
            <w:vAlign w:val="center"/>
          </w:tcPr>
          <w:p w:rsidR="00A67286" w:rsidRDefault="00A67286" w:rsidP="00141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150.00</w:t>
            </w:r>
          </w:p>
        </w:tc>
      </w:tr>
      <w:tr w:rsidR="0027522D" w:rsidRPr="001E1F60" w:rsidTr="001419B7">
        <w:trPr>
          <w:trHeight w:hRule="exact" w:val="580"/>
        </w:trPr>
        <w:tc>
          <w:tcPr>
            <w:tcW w:w="6903" w:type="dxa"/>
            <w:gridSpan w:val="2"/>
            <w:shd w:val="clear" w:color="auto" w:fill="FFFFFF" w:themeFill="background1"/>
          </w:tcPr>
          <w:p w:rsidR="0027522D" w:rsidRPr="0027522D" w:rsidRDefault="0027522D" w:rsidP="0027522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2D">
              <w:rPr>
                <w:rFonts w:asciiTheme="minorHAnsi" w:hAnsiTheme="minorHAnsi" w:cstheme="minorHAnsi"/>
                <w:b/>
                <w:color w:val="0070C0"/>
              </w:rPr>
              <w:t xml:space="preserve">(a) </w:t>
            </w:r>
            <w:r w:rsidRPr="0027522D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2005" w:type="dxa"/>
            <w:shd w:val="clear" w:color="auto" w:fill="D6E3BC" w:themeFill="accent3" w:themeFillTint="66"/>
            <w:vAlign w:val="center"/>
          </w:tcPr>
          <w:p w:rsidR="00A67286" w:rsidRPr="0027522D" w:rsidRDefault="00A67286" w:rsidP="00A67286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19268.00</w:t>
            </w:r>
          </w:p>
        </w:tc>
      </w:tr>
    </w:tbl>
    <w:p w:rsidR="001E1F60" w:rsidRDefault="001E1F60" w:rsidP="008F2A4C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Note: * short-term investments would be included in Box 8 of the Accounting Statements in the Annual return; long-term investments would be in Box 9.</w:t>
      </w:r>
    </w:p>
    <w:p w:rsidR="0027522D" w:rsidRPr="0027522D" w:rsidRDefault="0027522D" w:rsidP="0027522D">
      <w:p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 w:rsidRPr="0027522D">
        <w:rPr>
          <w:rFonts w:ascii="Arial" w:hAnsi="Arial" w:cs="Arial"/>
          <w:b/>
          <w:color w:val="000000"/>
          <w:sz w:val="20"/>
          <w:szCs w:val="20"/>
        </w:rPr>
        <w:t>Please provide an explanation for any high level of general reserves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if over 3 times </w:t>
      </w:r>
      <w:r w:rsidR="00F5765A">
        <w:rPr>
          <w:rFonts w:ascii="Arial" w:hAnsi="Arial" w:cs="Arial"/>
          <w:b/>
          <w:color w:val="000000"/>
          <w:sz w:val="20"/>
          <w:szCs w:val="20"/>
        </w:rPr>
        <w:t xml:space="preserve">(or less than 0.1) of </w:t>
      </w:r>
      <w:r>
        <w:rPr>
          <w:rFonts w:ascii="Arial" w:hAnsi="Arial" w:cs="Arial"/>
          <w:b/>
          <w:color w:val="000000"/>
          <w:sz w:val="20"/>
          <w:szCs w:val="20"/>
        </w:rPr>
        <w:t>the precept/rates and levies</w:t>
      </w:r>
      <w:r w:rsidRPr="0027522D">
        <w:rPr>
          <w:rFonts w:ascii="Arial" w:hAnsi="Arial" w:cs="Arial"/>
          <w:b/>
          <w:color w:val="000000"/>
          <w:sz w:val="20"/>
          <w:szCs w:val="20"/>
        </w:rPr>
        <w:t>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091"/>
      </w:tblGrid>
      <w:tr w:rsidR="0027522D" w:rsidRPr="008F2A4C" w:rsidTr="00E8666A">
        <w:trPr>
          <w:trHeight w:val="284"/>
        </w:trPr>
        <w:tc>
          <w:tcPr>
            <w:tcW w:w="6804" w:type="dxa"/>
            <w:vAlign w:val="center"/>
          </w:tcPr>
          <w:p w:rsidR="0027522D" w:rsidRDefault="0027522D" w:rsidP="008F2A4C">
            <w:pPr>
              <w:spacing w:after="200" w:line="276" w:lineRule="auto"/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27522D" w:rsidRPr="008F2A4C" w:rsidRDefault="0027522D" w:rsidP="0027522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</w:pPr>
            <w:r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>£</w:t>
            </w:r>
          </w:p>
        </w:tc>
      </w:tr>
      <w:tr w:rsidR="0027522D" w:rsidRPr="008F2A4C" w:rsidTr="00F5765A">
        <w:trPr>
          <w:trHeight w:val="284"/>
        </w:trPr>
        <w:tc>
          <w:tcPr>
            <w:tcW w:w="6804" w:type="dxa"/>
            <w:vAlign w:val="center"/>
          </w:tcPr>
          <w:p w:rsidR="0027522D" w:rsidRPr="008F2A4C" w:rsidRDefault="0027522D" w:rsidP="008F2A4C">
            <w:pPr>
              <w:spacing w:after="200" w:line="276" w:lineRule="auto"/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</w:pPr>
            <w:r w:rsidRPr="0027522D">
              <w:rPr>
                <w:rFonts w:asciiTheme="minorHAnsi" w:hAnsiTheme="minorHAnsi" w:cstheme="minorHAnsi"/>
                <w:b/>
                <w:iCs/>
                <w:color w:val="0070C0"/>
                <w:kern w:val="32"/>
                <w:sz w:val="24"/>
              </w:rPr>
              <w:t xml:space="preserve">(b) </w:t>
            </w:r>
            <w:r w:rsidR="00E8666A"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>Precept/</w:t>
            </w:r>
            <w:r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>rates and levies (Accounting Statements Box 2)</w:t>
            </w:r>
          </w:p>
        </w:tc>
        <w:tc>
          <w:tcPr>
            <w:tcW w:w="2091" w:type="dxa"/>
            <w:shd w:val="clear" w:color="auto" w:fill="D6E3BC" w:themeFill="accent3" w:themeFillTint="66"/>
            <w:vAlign w:val="center"/>
          </w:tcPr>
          <w:p w:rsidR="0027522D" w:rsidRPr="008F2A4C" w:rsidRDefault="0040752A" w:rsidP="001419B7">
            <w:pPr>
              <w:spacing w:after="100" w:afterAutospacing="1" w:line="276" w:lineRule="auto"/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</w:pPr>
            <w:r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>21000</w:t>
            </w:r>
            <w:r w:rsidR="00B10AD6"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>.00</w:t>
            </w:r>
          </w:p>
        </w:tc>
      </w:tr>
      <w:tr w:rsidR="0027522D" w:rsidRPr="008F2A4C" w:rsidTr="00F5765A">
        <w:trPr>
          <w:trHeight w:val="284"/>
        </w:trPr>
        <w:tc>
          <w:tcPr>
            <w:tcW w:w="6804" w:type="dxa"/>
            <w:shd w:val="clear" w:color="auto" w:fill="auto"/>
            <w:vAlign w:val="center"/>
          </w:tcPr>
          <w:p w:rsidR="0027522D" w:rsidRPr="008F2A4C" w:rsidRDefault="00E8666A" w:rsidP="00E8666A">
            <w:pPr>
              <w:spacing w:after="200" w:line="276" w:lineRule="auto"/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</w:pPr>
            <w:r w:rsidRPr="00E8666A">
              <w:rPr>
                <w:rFonts w:asciiTheme="minorHAnsi" w:hAnsiTheme="minorHAnsi" w:cstheme="minorHAnsi"/>
                <w:b/>
                <w:iCs/>
                <w:color w:val="0070C0"/>
                <w:kern w:val="32"/>
                <w:sz w:val="24"/>
              </w:rPr>
              <w:t xml:space="preserve">(c) </w:t>
            </w:r>
            <w:r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>Balance carried forward (Accounting Statements Box 7)</w:t>
            </w:r>
          </w:p>
        </w:tc>
        <w:tc>
          <w:tcPr>
            <w:tcW w:w="2091" w:type="dxa"/>
            <w:shd w:val="clear" w:color="auto" w:fill="D6E3BC" w:themeFill="accent3" w:themeFillTint="66"/>
            <w:vAlign w:val="center"/>
          </w:tcPr>
          <w:p w:rsidR="0027522D" w:rsidRPr="008F2A4C" w:rsidRDefault="0040752A" w:rsidP="001419B7">
            <w:pPr>
              <w:spacing w:after="100" w:afterAutospacing="1" w:line="276" w:lineRule="auto"/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</w:pPr>
            <w:r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>39848</w:t>
            </w:r>
            <w:r w:rsidR="00B10AD6"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>.00</w:t>
            </w:r>
          </w:p>
        </w:tc>
      </w:tr>
      <w:tr w:rsidR="0027522D" w:rsidRPr="008F2A4C" w:rsidTr="00F5765A">
        <w:trPr>
          <w:trHeight w:val="284"/>
        </w:trPr>
        <w:tc>
          <w:tcPr>
            <w:tcW w:w="6804" w:type="dxa"/>
            <w:shd w:val="clear" w:color="auto" w:fill="auto"/>
            <w:vAlign w:val="center"/>
          </w:tcPr>
          <w:p w:rsidR="0027522D" w:rsidRPr="008F2A4C" w:rsidRDefault="00E8666A" w:rsidP="00E8666A">
            <w:pPr>
              <w:spacing w:after="200" w:line="276" w:lineRule="auto"/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</w:pPr>
            <w:r w:rsidRPr="00E8666A">
              <w:rPr>
                <w:rFonts w:asciiTheme="minorHAnsi" w:hAnsiTheme="minorHAnsi" w:cstheme="minorHAnsi"/>
                <w:b/>
                <w:iCs/>
                <w:color w:val="0070C0"/>
                <w:kern w:val="32"/>
                <w:sz w:val="24"/>
              </w:rPr>
              <w:t xml:space="preserve">(d) </w:t>
            </w:r>
            <w:r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 xml:space="preserve">Amount of balances less total earmarked reserves </w:t>
            </w:r>
            <w:r w:rsidRPr="00E8666A">
              <w:rPr>
                <w:rFonts w:asciiTheme="minorHAnsi" w:hAnsiTheme="minorHAnsi" w:cstheme="minorHAnsi"/>
                <w:b/>
                <w:iCs/>
                <w:color w:val="0070C0"/>
                <w:kern w:val="32"/>
                <w:sz w:val="24"/>
              </w:rPr>
              <w:t>(c – a)</w:t>
            </w:r>
            <w:r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 xml:space="preserve">  </w:t>
            </w:r>
          </w:p>
        </w:tc>
        <w:tc>
          <w:tcPr>
            <w:tcW w:w="2091" w:type="dxa"/>
            <w:shd w:val="clear" w:color="auto" w:fill="D6E3BC" w:themeFill="accent3" w:themeFillTint="66"/>
            <w:vAlign w:val="center"/>
          </w:tcPr>
          <w:p w:rsidR="0027522D" w:rsidRPr="008F2A4C" w:rsidRDefault="00A67286" w:rsidP="001419B7">
            <w:pPr>
              <w:spacing w:after="100" w:afterAutospacing="1" w:line="276" w:lineRule="auto"/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</w:pPr>
            <w:r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>20580</w:t>
            </w:r>
            <w:r w:rsidR="00B10AD6"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>.00</w:t>
            </w:r>
          </w:p>
        </w:tc>
      </w:tr>
      <w:tr w:rsidR="00E8666A" w:rsidRPr="008F2A4C" w:rsidTr="00A67286">
        <w:trPr>
          <w:trHeight w:val="170"/>
        </w:trPr>
        <w:tc>
          <w:tcPr>
            <w:tcW w:w="6804" w:type="dxa"/>
            <w:shd w:val="clear" w:color="auto" w:fill="auto"/>
            <w:vAlign w:val="center"/>
          </w:tcPr>
          <w:p w:rsidR="00E8666A" w:rsidRDefault="00E8666A" w:rsidP="00A67286">
            <w:pPr>
              <w:spacing w:after="200" w:line="276" w:lineRule="auto"/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</w:pPr>
            <w:r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 xml:space="preserve">Ratio of balances less earmarked reserves to Precept/rates and levies </w:t>
            </w:r>
            <w:r w:rsidRPr="00E8666A">
              <w:rPr>
                <w:rFonts w:asciiTheme="minorHAnsi" w:hAnsiTheme="minorHAnsi" w:cstheme="minorHAnsi"/>
                <w:b/>
                <w:iCs/>
                <w:color w:val="0070C0"/>
                <w:kern w:val="32"/>
                <w:sz w:val="24"/>
              </w:rPr>
              <w:t>(d / b</w:t>
            </w:r>
            <w:r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>)</w:t>
            </w:r>
          </w:p>
        </w:tc>
        <w:tc>
          <w:tcPr>
            <w:tcW w:w="2091" w:type="dxa"/>
            <w:shd w:val="clear" w:color="auto" w:fill="D6E3BC" w:themeFill="accent3" w:themeFillTint="66"/>
            <w:vAlign w:val="center"/>
          </w:tcPr>
          <w:p w:rsidR="00E8666A" w:rsidRPr="008F2A4C" w:rsidRDefault="00A67286" w:rsidP="00A67286">
            <w:pPr>
              <w:spacing w:after="100" w:afterAutospacing="1" w:line="276" w:lineRule="auto"/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</w:pPr>
            <w:r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>0.98</w:t>
            </w:r>
            <w:r w:rsidR="0040752A"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>%</w:t>
            </w:r>
          </w:p>
        </w:tc>
      </w:tr>
      <w:tr w:rsidR="00E8666A" w:rsidRPr="008F2A4C" w:rsidTr="00F5765A">
        <w:trPr>
          <w:trHeight w:val="284"/>
        </w:trPr>
        <w:tc>
          <w:tcPr>
            <w:tcW w:w="8895" w:type="dxa"/>
            <w:gridSpan w:val="2"/>
            <w:shd w:val="clear" w:color="auto" w:fill="D6E3BC" w:themeFill="accent3" w:themeFillTint="66"/>
            <w:vAlign w:val="center"/>
          </w:tcPr>
          <w:p w:rsidR="00F5765A" w:rsidRPr="008F2A4C" w:rsidRDefault="00E8666A" w:rsidP="008F2A4C">
            <w:pPr>
              <w:spacing w:after="200" w:line="276" w:lineRule="auto"/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</w:pPr>
            <w:r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>Reason if over 3 times</w:t>
            </w:r>
            <w:r w:rsidR="00F5765A"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 xml:space="preserve"> or less than 0.1</w:t>
            </w:r>
          </w:p>
        </w:tc>
      </w:tr>
    </w:tbl>
    <w:p w:rsidR="005676E2" w:rsidRDefault="005676E2" w:rsidP="001B4CFF">
      <w:pPr>
        <w:spacing w:after="200" w:line="276" w:lineRule="auto"/>
      </w:pPr>
    </w:p>
    <w:sectPr w:rsidR="005676E2" w:rsidSect="001B4CFF">
      <w:headerReference w:type="default" r:id="rId8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4A" w:rsidRDefault="00062E4A" w:rsidP="00E918A4">
      <w:pPr>
        <w:spacing w:after="0"/>
      </w:pPr>
      <w:r>
        <w:separator/>
      </w:r>
    </w:p>
  </w:endnote>
  <w:endnote w:type="continuationSeparator" w:id="0">
    <w:p w:rsidR="00062E4A" w:rsidRDefault="00062E4A" w:rsidP="00E91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4A" w:rsidRDefault="00062E4A" w:rsidP="00E918A4">
      <w:pPr>
        <w:spacing w:after="0"/>
      </w:pPr>
      <w:r>
        <w:separator/>
      </w:r>
    </w:p>
  </w:footnote>
  <w:footnote w:type="continuationSeparator" w:id="0">
    <w:p w:rsidR="00062E4A" w:rsidRDefault="00062E4A" w:rsidP="00E918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F9" w:rsidRPr="00184E9B" w:rsidRDefault="003757F9" w:rsidP="00240C22">
    <w:pPr>
      <w:pStyle w:val="Heading2"/>
      <w:spacing w:after="120" w:line="240" w:lineRule="auto"/>
      <w:rPr>
        <w:rFonts w:asciiTheme="minorHAnsi" w:hAnsiTheme="minorHAnsi" w:cstheme="minorHAnsi"/>
        <w:b/>
        <w:sz w:val="32"/>
        <w:szCs w:val="32"/>
      </w:rPr>
    </w:pPr>
    <w:r w:rsidRPr="00C9745E">
      <w:rPr>
        <w:noProof/>
        <w:color w:val="5F497A" w:themeColor="accent4" w:themeShade="BF"/>
        <w:sz w:val="32"/>
        <w:szCs w:val="32"/>
        <w:lang w:eastAsia="en-GB"/>
      </w:rPr>
      <w:drawing>
        <wp:anchor distT="0" distB="0" distL="114300" distR="114300" simplePos="0" relativeHeight="251667456" behindDoc="0" locked="0" layoutInCell="1" allowOverlap="1" wp14:anchorId="11783529" wp14:editId="4B9C31A6">
          <wp:simplePos x="0" y="0"/>
          <wp:positionH relativeFrom="column">
            <wp:posOffset>-533400</wp:posOffset>
          </wp:positionH>
          <wp:positionV relativeFrom="paragraph">
            <wp:posOffset>-309245</wp:posOffset>
          </wp:positionV>
          <wp:extent cx="1642110" cy="30226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45E"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 xml:space="preserve">Schedules for submission to </w:t>
    </w:r>
    <w:r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 xml:space="preserve">external </w:t>
    </w:r>
    <w:r w:rsidRPr="00C9745E"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>audito</w:t>
    </w:r>
    <w:r w:rsidRPr="00184E9B">
      <w:rPr>
        <w:rFonts w:asciiTheme="minorHAnsi" w:hAnsiTheme="minorHAnsi" w:cstheme="minorHAnsi"/>
        <w:b/>
        <w:sz w:val="32"/>
        <w:szCs w:val="32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D1EDD"/>
    <w:multiLevelType w:val="hybridMultilevel"/>
    <w:tmpl w:val="8B722A4E"/>
    <w:lvl w:ilvl="0" w:tplc="F19465B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A4"/>
    <w:rsid w:val="000233DA"/>
    <w:rsid w:val="00035A27"/>
    <w:rsid w:val="000533BC"/>
    <w:rsid w:val="00062E4A"/>
    <w:rsid w:val="000A6F30"/>
    <w:rsid w:val="000E05AE"/>
    <w:rsid w:val="001408E8"/>
    <w:rsid w:val="001419B7"/>
    <w:rsid w:val="00157C80"/>
    <w:rsid w:val="00184E9B"/>
    <w:rsid w:val="001B4CFF"/>
    <w:rsid w:val="001E1F60"/>
    <w:rsid w:val="00200307"/>
    <w:rsid w:val="00203740"/>
    <w:rsid w:val="00231BDA"/>
    <w:rsid w:val="00240C22"/>
    <w:rsid w:val="0027522D"/>
    <w:rsid w:val="002A6477"/>
    <w:rsid w:val="002B45CA"/>
    <w:rsid w:val="002B5D6D"/>
    <w:rsid w:val="00334446"/>
    <w:rsid w:val="003522E5"/>
    <w:rsid w:val="003529D9"/>
    <w:rsid w:val="003628E3"/>
    <w:rsid w:val="003757F9"/>
    <w:rsid w:val="00380EB0"/>
    <w:rsid w:val="003847A3"/>
    <w:rsid w:val="00384D18"/>
    <w:rsid w:val="003D09B2"/>
    <w:rsid w:val="003F6F1B"/>
    <w:rsid w:val="0040752A"/>
    <w:rsid w:val="00463D06"/>
    <w:rsid w:val="004B161B"/>
    <w:rsid w:val="004B702A"/>
    <w:rsid w:val="004C7A91"/>
    <w:rsid w:val="004E3A1B"/>
    <w:rsid w:val="004F66CE"/>
    <w:rsid w:val="005222B9"/>
    <w:rsid w:val="005306C6"/>
    <w:rsid w:val="005608AB"/>
    <w:rsid w:val="005676E2"/>
    <w:rsid w:val="00567E04"/>
    <w:rsid w:val="00570641"/>
    <w:rsid w:val="005B3C5B"/>
    <w:rsid w:val="005B6A51"/>
    <w:rsid w:val="005D0806"/>
    <w:rsid w:val="005F107E"/>
    <w:rsid w:val="006E1493"/>
    <w:rsid w:val="0071603D"/>
    <w:rsid w:val="00725126"/>
    <w:rsid w:val="007A2F9F"/>
    <w:rsid w:val="007D6682"/>
    <w:rsid w:val="00803839"/>
    <w:rsid w:val="00847C61"/>
    <w:rsid w:val="0086348F"/>
    <w:rsid w:val="00871D30"/>
    <w:rsid w:val="008914D8"/>
    <w:rsid w:val="008B6832"/>
    <w:rsid w:val="008F2A4C"/>
    <w:rsid w:val="00955E5D"/>
    <w:rsid w:val="009834F6"/>
    <w:rsid w:val="00A07293"/>
    <w:rsid w:val="00A123A6"/>
    <w:rsid w:val="00A12FF5"/>
    <w:rsid w:val="00A13AB1"/>
    <w:rsid w:val="00A16F06"/>
    <w:rsid w:val="00A67286"/>
    <w:rsid w:val="00AA7B8C"/>
    <w:rsid w:val="00AF180B"/>
    <w:rsid w:val="00B0557B"/>
    <w:rsid w:val="00B10AD6"/>
    <w:rsid w:val="00B5162E"/>
    <w:rsid w:val="00B721D4"/>
    <w:rsid w:val="00B84930"/>
    <w:rsid w:val="00B864FB"/>
    <w:rsid w:val="00BE14D6"/>
    <w:rsid w:val="00C55AA5"/>
    <w:rsid w:val="00C74554"/>
    <w:rsid w:val="00C9587B"/>
    <w:rsid w:val="00C9745E"/>
    <w:rsid w:val="00CB5D04"/>
    <w:rsid w:val="00CD2E37"/>
    <w:rsid w:val="00D44BF5"/>
    <w:rsid w:val="00D91718"/>
    <w:rsid w:val="00DA258D"/>
    <w:rsid w:val="00DC2BFD"/>
    <w:rsid w:val="00DD5F96"/>
    <w:rsid w:val="00E4707C"/>
    <w:rsid w:val="00E8666A"/>
    <w:rsid w:val="00E918A4"/>
    <w:rsid w:val="00EB52A1"/>
    <w:rsid w:val="00EF3E12"/>
    <w:rsid w:val="00EF3F9D"/>
    <w:rsid w:val="00F141AF"/>
    <w:rsid w:val="00F25721"/>
    <w:rsid w:val="00F530D0"/>
    <w:rsid w:val="00F5765A"/>
    <w:rsid w:val="00FA1D99"/>
    <w:rsid w:val="00FC7CD5"/>
    <w:rsid w:val="00FD3CDC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35672-042D-4F4F-89C7-91FFE4A9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4C"/>
    <w:pPr>
      <w:spacing w:after="284" w:line="240" w:lineRule="auto"/>
    </w:pPr>
    <w:rPr>
      <w:rFonts w:ascii="Garamond" w:eastAsia="Times New Roman" w:hAnsi="Garamond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918A4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link w:val="Heading2Char"/>
    <w:qFormat/>
    <w:rsid w:val="00E918A4"/>
    <w:pPr>
      <w:outlineLvl w:val="1"/>
    </w:pPr>
    <w:rPr>
      <w:bCs w:val="0"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8A4"/>
    <w:rPr>
      <w:rFonts w:ascii="Arial Black" w:eastAsia="Times New Roman" w:hAnsi="Arial Black" w:cs="Arial"/>
      <w:bCs/>
      <w:kern w:val="32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E918A4"/>
    <w:rPr>
      <w:rFonts w:ascii="Arial Black" w:eastAsia="Times New Roman" w:hAnsi="Arial Black" w:cs="Arial"/>
      <w:iCs/>
      <w:kern w:val="32"/>
      <w:sz w:val="19"/>
      <w:szCs w:val="19"/>
    </w:rPr>
  </w:style>
  <w:style w:type="paragraph" w:styleId="Footer">
    <w:name w:val="footer"/>
    <w:basedOn w:val="Normal"/>
    <w:link w:val="FooterChar"/>
    <w:uiPriority w:val="99"/>
    <w:rsid w:val="00E918A4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918A4"/>
    <w:rPr>
      <w:rFonts w:ascii="Arial" w:eastAsia="Times New Roman" w:hAnsi="Arial" w:cs="Times New Roman"/>
      <w:b/>
      <w:color w:val="808080"/>
      <w:sz w:val="16"/>
      <w:szCs w:val="24"/>
    </w:rPr>
  </w:style>
  <w:style w:type="paragraph" w:customStyle="1" w:styleId="TableText">
    <w:name w:val="Table Text"/>
    <w:basedOn w:val="Normal"/>
    <w:rsid w:val="00E918A4"/>
    <w:pPr>
      <w:spacing w:after="0"/>
      <w:ind w:right="142"/>
    </w:pPr>
    <w:rPr>
      <w:szCs w:val="22"/>
    </w:rPr>
  </w:style>
  <w:style w:type="table" w:styleId="TableGrid">
    <w:name w:val="Table Grid"/>
    <w:basedOn w:val="TableNormal"/>
    <w:uiPriority w:val="39"/>
    <w:rsid w:val="00E9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8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18A4"/>
    <w:rPr>
      <w:rFonts w:ascii="Garamond" w:eastAsia="Times New Roman" w:hAnsi="Garamond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974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AA98-72FB-4EE0-B69E-A583B9D7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International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 Ellison</dc:creator>
  <cp:lastModifiedBy>Stogursey Parish Clerk</cp:lastModifiedBy>
  <cp:revision>4</cp:revision>
  <cp:lastPrinted>2017-05-21T12:45:00Z</cp:lastPrinted>
  <dcterms:created xsi:type="dcterms:W3CDTF">2017-05-21T12:52:00Z</dcterms:created>
  <dcterms:modified xsi:type="dcterms:W3CDTF">2017-05-21T13:13:00Z</dcterms:modified>
</cp:coreProperties>
</file>